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5"/>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pPr>
      <w:r>
        <w:rPr>
          <w:rStyle w:val="5"/>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山东省中小微企业升级高新技术企业财政补助资金管理办法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5"/>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Style w:val="5"/>
          <w:rFonts w:hint="eastAsia" w:ascii="楷体_GB2312" w:hAnsi="楷体_GB2312" w:eastAsia="楷体_GB2312" w:cs="楷体_GB2312"/>
          <w:b/>
          <w:bCs/>
          <w:i w:val="0"/>
          <w:iCs w:val="0"/>
          <w:caps w:val="0"/>
          <w:color w:val="333333"/>
          <w:spacing w:val="0"/>
          <w:sz w:val="32"/>
          <w:szCs w:val="32"/>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贯彻落实《山东省人民政府办公厅关于推进省级财政科技创新资金整合的实施意见》和《山东省人民政府办公厅印发关于深化科技改革攻坚的若干措施的通知》等精神，加强和规范中小微企业升级高新技术企业财政补助资金</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（以下简称“补助资金”）管理，提高资金使用效益，根据《山东省省级科技创新发展资金管理暂行办法》有关规定，制定本办法。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本办法所称补助资金，是指由省级财政预算安排，用于补助首次通过高新技术企业认定的中小微企业、培育高新技术企业的科技企业孵化载体等对象的资金。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Style w:val="5"/>
          <w:rFonts w:hint="eastAsia" w:ascii="楷体_GB2312" w:hAnsi="楷体_GB2312" w:eastAsia="楷体_GB2312" w:cs="楷体_GB2312"/>
          <w:b/>
          <w:bCs/>
          <w:i w:val="0"/>
          <w:iCs w:val="0"/>
          <w:caps w:val="0"/>
          <w:color w:val="333333"/>
          <w:spacing w:val="0"/>
          <w:sz w:val="32"/>
          <w:szCs w:val="32"/>
          <w:bdr w:val="none" w:color="auto" w:sz="0" w:space="0"/>
          <w:shd w:val="clear" w:fill="FFFFFF"/>
        </w:rPr>
        <w:t>第二章 组织管理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省财政厅负责补助资金预算编制，对支出政策进行审核，牵头预算绩效管理，拨付预算资金等。省科技厅负责补助资金预算安排建议，具体组织预算执行，制定补助资金分配方案等。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各市科技局负责补助资金具体组织申报、审核与政策宣传等工作。市财政局会同市科技局，配合省财政厅、省科技厅开展绩效评价与监督管理等工作。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Style w:val="5"/>
          <w:rFonts w:hint="eastAsia" w:ascii="楷体_GB2312" w:hAnsi="楷体_GB2312" w:eastAsia="楷体_GB2312" w:cs="楷体_GB2312"/>
          <w:b/>
          <w:bCs/>
          <w:i w:val="0"/>
          <w:iCs w:val="0"/>
          <w:caps w:val="0"/>
          <w:color w:val="333333"/>
          <w:spacing w:val="0"/>
          <w:sz w:val="32"/>
          <w:szCs w:val="32"/>
          <w:bdr w:val="none" w:color="auto" w:sz="0" w:space="0"/>
          <w:shd w:val="clear" w:fill="FFFFFF"/>
        </w:rPr>
        <w:t>第三章  补助对象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获得补助资金的企业包括：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（一）首次通过山东省高新技术企业认定管理机构认定且上年度职工总数不超过500人、年销售收入不超过2亿元的中小微企业。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（二）菏泽市通过高新技术企业认定的企业。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获得补助资金的科技企业孵化载体应具备以下条件：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在山东省境内注册，具有独立法人资格，经省级以上科技部门认定（备案）的省级以上（含省级）科技企业孵化器、众创空间和专业化众创空间，或经省级以上科技部门、教育部门批准建设的省级以上大学科技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（二）孵化运行绩效良好，有1家（含）以上孵化期内的在孵企业升级为高新技术企业。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（三）最近一年内未发生重大安全、重大质量事故或严重环境违法行为，未发生严重的科研失信行为。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上述第六条第二款中，孵化期内的在孵企业升级为高新技术企业是指：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企业注册地、主要研发及办公场所均在拟申报补助资金的科技企业孵化载体内，且入驻孵化时间不超过48个月（技术领域为生物医药、现代农业、集成电路的企业，孵化时限不超过60个月）；入驻前已经注册成立的企业，入驻时企业成立时间应在36个月以内；不含申请高新技术企业认定当年入驻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（二）企业当年度首次通过山东省高新技术企业认定管理机构认定。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Style w:val="5"/>
          <w:rFonts w:hint="eastAsia" w:ascii="楷体_GB2312" w:hAnsi="楷体_GB2312" w:eastAsia="楷体_GB2312" w:cs="楷体_GB2312"/>
          <w:b/>
          <w:bCs/>
          <w:i w:val="0"/>
          <w:iCs w:val="0"/>
          <w:caps w:val="0"/>
          <w:color w:val="333333"/>
          <w:spacing w:val="0"/>
          <w:sz w:val="32"/>
          <w:szCs w:val="32"/>
          <w:bdr w:val="none" w:color="auto" w:sz="0" w:space="0"/>
          <w:shd w:val="clear" w:fill="FFFFFF"/>
        </w:rPr>
        <w:t>第四章 补助标准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对首次通过高新技术企业认定的中小微企业给予10万元补助；对属于集成电路、氢能领域且首次通过高新技术企业认定的中小微企业给予15万元补助。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对菏泽市除首次通过高新技术企业认定的中小微企业外，其他首次通过高新技术企业认定的企业给予5万元补助；对菏泽市重新认定的高新技术企业给予3万元补助。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依据科技企业孵化载体年度绩效，每培育1家高新技术企业补助10万元，每家科技企业孵化载体每年最高补助200万元。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Style w:val="5"/>
          <w:rFonts w:hint="eastAsia" w:ascii="楷体_GB2312" w:hAnsi="楷体_GB2312" w:eastAsia="楷体_GB2312" w:cs="楷体_GB2312"/>
          <w:b/>
          <w:bCs/>
          <w:i w:val="0"/>
          <w:iCs w:val="0"/>
          <w:caps w:val="0"/>
          <w:color w:val="333333"/>
          <w:spacing w:val="0"/>
          <w:sz w:val="32"/>
          <w:szCs w:val="32"/>
          <w:bdr w:val="none" w:color="auto" w:sz="0" w:space="0"/>
          <w:shd w:val="clear" w:fill="FFFFFF"/>
        </w:rPr>
        <w:t>第五章  补助程序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省科技厅在每年第一季度发布申报工作通知，同时下达经初步筛选后符合补助条件的企业与科技企业孵化载体名单。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各市科技局组织符合条件的企业和科技企业孵化载体进行申报。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科技企业孵化载体申报补助资金需提供企业入驻孵化协议。若科技企业孵化载体运营机构或所培育高新技术企业发生名称变更，应提供相应更名证明材料。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各市科技局对本市补助资金申报材料进行审核后，报送省科技厅。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省科技厅对各市补助资金申报材料进行复核，经复核符合补助条件的，在门户网站向社会公示5个工作日。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公示期满后，省科技厅下达补助计划，省财政厅安排补助资金。补助资金由省科技厅直接拨付至获得补助单位。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Style w:val="5"/>
          <w:rFonts w:hint="eastAsia" w:ascii="楷体_GB2312" w:hAnsi="楷体_GB2312" w:eastAsia="楷体_GB2312" w:cs="楷体_GB2312"/>
          <w:b/>
          <w:bCs/>
          <w:i w:val="0"/>
          <w:iCs w:val="0"/>
          <w:caps w:val="0"/>
          <w:color w:val="333333"/>
          <w:spacing w:val="0"/>
          <w:sz w:val="32"/>
          <w:szCs w:val="32"/>
          <w:bdr w:val="none" w:color="auto" w:sz="0" w:space="0"/>
          <w:shd w:val="clear" w:fill="FFFFFF"/>
        </w:rPr>
        <w:t>第六章 监督与绩效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补助资金用于企业开展研发活动、提升科技企业孵化载体服务能力等方面的支出。获得补助资金的单位应强化资金使用管理，严格执行财务规章制度和会计核算办法，切实提高资金使用效益。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鼓励各市制定配套政策，共同推动科技型企业培育工作，引导科技企业孵化载体提升孵化绩效，实现高质量发展。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省财政厅、省科技厅适时组织专家或委托第三方对补助政策实施情况开展绩效评价，作为后续完善政策的重要依据。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对以弄虚作假等手段套取骗取补助资金等违法违规行为的企业及有关责任人，按照《财政违法行为处罚处分条例》（国务院令第427号）等有关规定追究相应责任并追回财政补助资金。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Style w:val="5"/>
          <w:rFonts w:hint="eastAsia" w:ascii="楷体_GB2312" w:hAnsi="楷体_GB2312" w:eastAsia="楷体_GB2312" w:cs="楷体_GB2312"/>
          <w:b/>
          <w:bCs/>
          <w:i w:val="0"/>
          <w:iCs w:val="0"/>
          <w:caps w:val="0"/>
          <w:color w:val="333333"/>
          <w:spacing w:val="0"/>
          <w:sz w:val="32"/>
          <w:szCs w:val="32"/>
          <w:bdr w:val="none" w:color="auto" w:sz="0" w:space="0"/>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本办法由省科技厅、省财政厅负责解释。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本办法自2021年8月1日起施行，有效期至2026年7月31日。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zJhYTVlN2NjYTVmNzUzN2Y2ZWQxNmMyMTdkYTkifQ=="/>
  </w:docVars>
  <w:rsids>
    <w:rsidRoot w:val="703257FE"/>
    <w:rsid w:val="7032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2023-06-30T01:39:00Z</dcterms:created>
  <dc:creator>对方正在输入...</dc:creator>
  <cp:lastModifiedBy>对方正在输入...</cp:lastModifiedBy>
  <dcterms:modified xsi:type="dcterms:W3CDTF">2023-06-30T01:44:12Z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E14A2FE32B264D8892EEA151392B43F9_11</vt:lpwstr>
  </property>
</Properties>
</file>