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rPr>
          <w:rFonts w:hint="eastAsia" w:ascii="黑体" w:hAnsi="黑体" w:eastAsia="黑体" w:cs="黑体"/>
          <w:color w:val="000000" w:themeColor="text1"/>
          <w:sz w:val="32"/>
          <w:szCs w:val="32"/>
          <w14:textFill>
            <w14:solidFill>
              <w14:schemeClr w14:val="tx1"/>
            </w14:solidFill>
          </w14:textFill>
        </w:rPr>
      </w:pPr>
      <w:bookmarkStart w:id="14" w:name="_GoBack"/>
      <w:bookmarkEnd w:id="14"/>
      <w:r>
        <w:rPr>
          <w:rFonts w:hint="eastAsia" w:ascii="黑体" w:hAnsi="黑体" w:eastAsia="黑体" w:cs="黑体"/>
          <w:color w:val="000000" w:themeColor="text1"/>
          <w:sz w:val="32"/>
          <w:szCs w:val="32"/>
          <w14:textFill>
            <w14:solidFill>
              <w14:schemeClr w14:val="tx1"/>
            </w14:solidFill>
          </w14:textFill>
        </w:rPr>
        <w:t>附件</w:t>
      </w:r>
    </w:p>
    <w:p>
      <w:pPr>
        <w:snapToGrid w:val="0"/>
        <w:rPr>
          <w:rFonts w:hint="eastAsia" w:ascii="仿宋_GB2312" w:hAnsi="仿宋_GB2312" w:eastAsia="仿宋_GB2312" w:cs="仿宋_GB2312"/>
          <w:color w:val="000000" w:themeColor="text1"/>
          <w:sz w:val="32"/>
          <w:szCs w:val="32"/>
          <w14:textFill>
            <w14:solidFill>
              <w14:schemeClr w14:val="tx1"/>
            </w14:solidFill>
          </w14:textFill>
        </w:rPr>
      </w:pPr>
    </w:p>
    <w:p>
      <w:pPr>
        <w:snapToGrid w:val="0"/>
        <w:jc w:val="center"/>
        <w:rPr>
          <w:rFonts w:hint="eastAsia" w:ascii="方正小标宋简体" w:hAnsi="方正小标宋_GBK" w:eastAsia="方正小标宋简体" w:cs="方正小标宋_GBK"/>
          <w:color w:val="000000" w:themeColor="text1"/>
          <w:sz w:val="44"/>
          <w:szCs w:val="44"/>
          <w14:textFill>
            <w14:solidFill>
              <w14:schemeClr w14:val="tx1"/>
            </w14:solidFill>
          </w14:textFill>
        </w:rPr>
      </w:pPr>
      <w:r>
        <w:rPr>
          <w:rFonts w:hint="eastAsia" w:ascii="方正小标宋简体" w:hAnsi="方正小标宋_GBK" w:eastAsia="方正小标宋简体" w:cs="方正小标宋_GBK"/>
          <w:color w:val="000000" w:themeColor="text1"/>
          <w:sz w:val="44"/>
          <w:szCs w:val="44"/>
          <w14:textFill>
            <w14:solidFill>
              <w14:schemeClr w14:val="tx1"/>
            </w14:solidFill>
          </w14:textFill>
        </w:rPr>
        <w:t>工业和信息化部火炬中心</w:t>
      </w:r>
    </w:p>
    <w:p>
      <w:pPr>
        <w:snapToGrid w:val="0"/>
        <w:jc w:val="center"/>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方正小标宋简体" w:hAnsi="方正小标宋_GBK" w:eastAsia="方正小标宋简体" w:cs="方正小标宋_GBK"/>
          <w:color w:val="000000" w:themeColor="text1"/>
          <w:sz w:val="44"/>
          <w:szCs w:val="44"/>
          <w14:textFill>
            <w14:solidFill>
              <w14:schemeClr w14:val="tx1"/>
            </w14:solidFill>
          </w14:textFill>
        </w:rPr>
        <w:t>“企业创新积分制”服务平台操作说明</w:t>
      </w:r>
    </w:p>
    <w:p>
      <w:pPr>
        <w:pStyle w:val="2"/>
        <w:keepNext w:val="0"/>
        <w:keepLines w:val="0"/>
        <w:adjustRightInd w:val="0"/>
        <w:snapToGrid w:val="0"/>
        <w:spacing w:before="120" w:after="120" w:line="560" w:lineRule="exact"/>
        <w:ind w:firstLine="640" w:firstLineChars="200"/>
        <w:rPr>
          <w:rFonts w:ascii="Times New Roman" w:hAnsi="Times New Roman" w:eastAsia="黑体" w:cs="Times New Roman"/>
          <w:b w:val="0"/>
          <w:color w:val="000000" w:themeColor="text1"/>
          <w:kern w:val="2"/>
          <w:sz w:val="32"/>
          <w:szCs w:val="32"/>
          <w14:textFill>
            <w14:solidFill>
              <w14:schemeClr w14:val="tx1"/>
            </w14:solidFill>
          </w14:textFill>
        </w:rPr>
      </w:pPr>
      <w:r>
        <w:rPr>
          <w:rFonts w:hint="eastAsia" w:ascii="Times New Roman" w:hAnsi="Times New Roman" w:eastAsia="黑体" w:cs="Times New Roman"/>
          <w:b w:val="0"/>
          <w:color w:val="000000" w:themeColor="text1"/>
          <w:kern w:val="2"/>
          <w:sz w:val="32"/>
          <w:szCs w:val="32"/>
          <w14:textFill>
            <w14:solidFill>
              <w14:schemeClr w14:val="tx1"/>
            </w14:solidFill>
          </w14:textFill>
        </w:rPr>
        <w:t>一、平台介绍</w:t>
      </w:r>
    </w:p>
    <w:p>
      <w:pPr>
        <w:snapToGrid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工业和信息化部火炬中心“企业创新积分制”服务平台适用于火炬中心管理、国家高新区管理、省级管理、设区市级管理、区县级管理、入统企业查分、非入统企业测分，方便各级机构和企业用户对企业创新积分数据的查看和使用。</w:t>
      </w:r>
    </w:p>
    <w:p>
      <w:pPr>
        <w:pStyle w:val="2"/>
        <w:keepNext w:val="0"/>
        <w:keepLines w:val="0"/>
        <w:adjustRightInd w:val="0"/>
        <w:snapToGrid w:val="0"/>
        <w:spacing w:before="120" w:after="120" w:line="560" w:lineRule="exact"/>
        <w:ind w:firstLine="640" w:firstLineChars="200"/>
        <w:rPr>
          <w:rFonts w:ascii="Times New Roman" w:hAnsi="Times New Roman" w:eastAsia="黑体" w:cs="Times New Roman"/>
          <w:b w:val="0"/>
          <w:color w:val="000000" w:themeColor="text1"/>
          <w:kern w:val="2"/>
          <w:sz w:val="32"/>
          <w:szCs w:val="32"/>
          <w14:textFill>
            <w14:solidFill>
              <w14:schemeClr w14:val="tx1"/>
            </w14:solidFill>
          </w14:textFill>
        </w:rPr>
      </w:pPr>
      <w:r>
        <w:rPr>
          <w:rFonts w:hint="eastAsia" w:ascii="Times New Roman" w:hAnsi="Times New Roman" w:eastAsia="黑体" w:cs="Times New Roman"/>
          <w:b w:val="0"/>
          <w:color w:val="000000" w:themeColor="text1"/>
          <w:kern w:val="2"/>
          <w:sz w:val="32"/>
          <w:szCs w:val="32"/>
          <w14:textFill>
            <w14:solidFill>
              <w14:schemeClr w14:val="tx1"/>
            </w14:solidFill>
          </w14:textFill>
        </w:rPr>
        <w:t>二、用户说明</w:t>
      </w:r>
    </w:p>
    <w:p>
      <w:pPr>
        <w:snapToGrid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根据实际场景预设基础角色与账号权限，以便使用，后期可根据需要灵活配置角色用户。</w:t>
      </w:r>
    </w:p>
    <w:p>
      <w:pPr>
        <w:widowControl/>
        <w:spacing w:line="560" w:lineRule="exact"/>
        <w:ind w:firstLine="643" w:firstLineChars="200"/>
        <w:rPr>
          <w:rFonts w:ascii="Times New Roman" w:hAnsi="Times New Roman" w:eastAsia="仿宋_GB2312" w:cs="Times New Roman"/>
          <w:b/>
          <w:bCs/>
          <w:color w:val="000000" w:themeColor="text1"/>
          <w:sz w:val="32"/>
          <w:szCs w:val="32"/>
          <w14:textFill>
            <w14:solidFill>
              <w14:schemeClr w14:val="tx1"/>
            </w14:solidFill>
          </w14:textFill>
        </w:rPr>
      </w:pPr>
      <w:bookmarkStart w:id="0" w:name="heading_23"/>
      <w:r>
        <w:rPr>
          <w:rFonts w:hint="eastAsia" w:ascii="Times New Roman" w:hAnsi="Times New Roman" w:eastAsia="仿宋_GB2312" w:cs="Times New Roman"/>
          <w:b/>
          <w:bCs/>
          <w:color w:val="000000" w:themeColor="text1"/>
          <w:sz w:val="32"/>
          <w:szCs w:val="32"/>
          <w14:textFill>
            <w14:solidFill>
              <w14:schemeClr w14:val="tx1"/>
            </w14:solidFill>
          </w14:textFill>
        </w:rPr>
        <w:t xml:space="preserve">1. </w:t>
      </w:r>
      <w:bookmarkEnd w:id="0"/>
      <w:bookmarkStart w:id="1" w:name="heading_25"/>
      <w:r>
        <w:rPr>
          <w:rFonts w:hint="eastAsia" w:ascii="Times New Roman" w:hAnsi="Times New Roman" w:eastAsia="仿宋_GB2312" w:cs="Times New Roman"/>
          <w:b/>
          <w:bCs/>
          <w:color w:val="000000" w:themeColor="text1"/>
          <w:sz w:val="32"/>
          <w:szCs w:val="32"/>
          <w14:textFill>
            <w14:solidFill>
              <w14:schemeClr w14:val="tx1"/>
            </w14:solidFill>
          </w14:textFill>
        </w:rPr>
        <w:t>行政区（省、市、区县）</w:t>
      </w:r>
    </w:p>
    <w:p>
      <w:pPr>
        <w:snapToGrid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（1）功能</w:t>
      </w:r>
    </w:p>
    <w:p>
      <w:pPr>
        <w:numPr>
          <w:ilvl w:val="0"/>
          <w:numId w:val="1"/>
        </w:numPr>
        <w:snapToGrid w:val="0"/>
        <w:spacing w:line="560" w:lineRule="exac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企业总览-企业榜单、技术领域、一级行业、企业评价、发展阶段、企业列表、企业详情；</w:t>
      </w:r>
    </w:p>
    <w:p>
      <w:pPr>
        <w:numPr>
          <w:ilvl w:val="0"/>
          <w:numId w:val="1"/>
        </w:numPr>
        <w:snapToGrid w:val="0"/>
        <w:spacing w:line="560" w:lineRule="exac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测算分数-导入测算、测算记录、企业测算详情；</w:t>
      </w:r>
    </w:p>
    <w:p>
      <w:pPr>
        <w:numPr>
          <w:ilvl w:val="0"/>
          <w:numId w:val="1"/>
        </w:numPr>
        <w:snapToGrid w:val="0"/>
        <w:spacing w:line="560" w:lineRule="exac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待办事项-待办事项列表、上传。</w:t>
      </w:r>
    </w:p>
    <w:p>
      <w:pPr>
        <w:snapToGrid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（2）数据范围</w:t>
      </w:r>
    </w:p>
    <w:p>
      <w:pPr>
        <w:snapToGrid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数据可视化图表为所属省（市、区县）内企业，企业列表为所属省内70分以上企业。</w:t>
      </w:r>
    </w:p>
    <w:bookmarkEnd w:id="1"/>
    <w:p>
      <w:pPr>
        <w:numPr>
          <w:ilvl w:val="0"/>
          <w:numId w:val="2"/>
        </w:numPr>
        <w:snapToGrid w:val="0"/>
        <w:spacing w:line="560" w:lineRule="exact"/>
        <w:ind w:firstLine="643" w:firstLineChars="200"/>
        <w:rPr>
          <w:rFonts w:ascii="Times New Roman" w:hAnsi="Times New Roman" w:eastAsia="仿宋_GB2312" w:cs="Times New Roman"/>
          <w:b/>
          <w:bCs/>
          <w:color w:val="000000" w:themeColor="text1"/>
          <w:sz w:val="32"/>
          <w:szCs w:val="32"/>
          <w14:textFill>
            <w14:solidFill>
              <w14:schemeClr w14:val="tx1"/>
            </w14:solidFill>
          </w14:textFill>
        </w:rPr>
      </w:pPr>
      <w:r>
        <w:rPr>
          <w:rFonts w:hint="eastAsia" w:ascii="Times New Roman" w:hAnsi="Times New Roman" w:eastAsia="仿宋_GB2312" w:cs="Times New Roman"/>
          <w:b/>
          <w:bCs/>
          <w:color w:val="000000" w:themeColor="text1"/>
          <w:sz w:val="32"/>
          <w:szCs w:val="32"/>
          <w14:textFill>
            <w14:solidFill>
              <w14:schemeClr w14:val="tx1"/>
            </w14:solidFill>
          </w14:textFill>
        </w:rPr>
        <w:t>高新区、孵化器</w:t>
      </w:r>
    </w:p>
    <w:p>
      <w:pPr>
        <w:snapToGrid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（1）功能</w:t>
      </w:r>
    </w:p>
    <w:p>
      <w:pPr>
        <w:numPr>
          <w:ilvl w:val="0"/>
          <w:numId w:val="1"/>
        </w:numPr>
        <w:snapToGrid w:val="0"/>
        <w:spacing w:line="560" w:lineRule="exac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企业总览-企业榜单、技术领域、一级行业、企业评价、发展阶段、企业列表、企业详情；</w:t>
      </w:r>
    </w:p>
    <w:p>
      <w:pPr>
        <w:numPr>
          <w:ilvl w:val="0"/>
          <w:numId w:val="3"/>
        </w:numPr>
        <w:snapToGrid w:val="0"/>
        <w:spacing w:line="560" w:lineRule="exac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测算分数-导入测算、测算记录、企业测算详情；</w:t>
      </w:r>
    </w:p>
    <w:p>
      <w:pPr>
        <w:numPr>
          <w:ilvl w:val="0"/>
          <w:numId w:val="3"/>
        </w:numPr>
        <w:snapToGrid w:val="0"/>
        <w:spacing w:line="560" w:lineRule="exac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待办事项-待办事项列表、上传。</w:t>
      </w:r>
    </w:p>
    <w:p>
      <w:pPr>
        <w:snapToGrid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（2）数据范围</w:t>
      </w:r>
    </w:p>
    <w:p>
      <w:pPr>
        <w:snapToGrid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所属高新区、孵化器企业。</w:t>
      </w:r>
    </w:p>
    <w:p>
      <w:pPr>
        <w:widowControl/>
        <w:spacing w:line="560" w:lineRule="exact"/>
        <w:ind w:firstLine="643" w:firstLineChars="200"/>
        <w:rPr>
          <w:rFonts w:ascii="Times New Roman" w:hAnsi="Times New Roman" w:eastAsia="仿宋_GB2312" w:cs="Times New Roman"/>
          <w:b/>
          <w:bCs/>
          <w:color w:val="000000" w:themeColor="text1"/>
          <w:sz w:val="32"/>
          <w:szCs w:val="32"/>
          <w14:textFill>
            <w14:solidFill>
              <w14:schemeClr w14:val="tx1"/>
            </w14:solidFill>
          </w14:textFill>
        </w:rPr>
      </w:pPr>
      <w:bookmarkStart w:id="2" w:name="heading_29"/>
      <w:r>
        <w:rPr>
          <w:rFonts w:hint="eastAsia" w:ascii="Times New Roman" w:hAnsi="Times New Roman" w:eastAsia="仿宋_GB2312" w:cs="Times New Roman"/>
          <w:b/>
          <w:bCs/>
          <w:color w:val="000000" w:themeColor="text1"/>
          <w:sz w:val="32"/>
          <w:szCs w:val="32"/>
          <w14:textFill>
            <w14:solidFill>
              <w14:schemeClr w14:val="tx1"/>
            </w14:solidFill>
          </w14:textFill>
        </w:rPr>
        <w:t>3. 企业（火炬入统、非火炬入统）</w:t>
      </w:r>
      <w:bookmarkEnd w:id="2"/>
    </w:p>
    <w:p>
      <w:pPr>
        <w:snapToGrid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（1）功能：</w:t>
      </w:r>
    </w:p>
    <w:p>
      <w:pPr>
        <w:numPr>
          <w:ilvl w:val="0"/>
          <w:numId w:val="1"/>
        </w:numPr>
        <w:snapToGrid w:val="0"/>
        <w:spacing w:line="560" w:lineRule="exac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企业总览-企业详情</w:t>
      </w:r>
    </w:p>
    <w:p>
      <w:pPr>
        <w:snapToGrid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（2）数据范围</w:t>
      </w:r>
    </w:p>
    <w:p>
      <w:pPr>
        <w:snapToGrid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可查看本企业信息。</w:t>
      </w:r>
    </w:p>
    <w:p>
      <w:pPr>
        <w:pStyle w:val="2"/>
        <w:keepNext w:val="0"/>
        <w:keepLines w:val="0"/>
        <w:adjustRightInd w:val="0"/>
        <w:snapToGrid w:val="0"/>
        <w:spacing w:before="120" w:after="120" w:line="560" w:lineRule="exact"/>
        <w:ind w:firstLine="640" w:firstLineChars="200"/>
        <w:rPr>
          <w:rFonts w:ascii="Times New Roman" w:hAnsi="Times New Roman" w:eastAsia="黑体" w:cs="Times New Roman"/>
          <w:b w:val="0"/>
          <w:color w:val="000000" w:themeColor="text1"/>
          <w:kern w:val="2"/>
          <w:sz w:val="32"/>
          <w:szCs w:val="32"/>
          <w14:textFill>
            <w14:solidFill>
              <w14:schemeClr w14:val="tx1"/>
            </w14:solidFill>
          </w14:textFill>
        </w:rPr>
      </w:pPr>
      <w:bookmarkStart w:id="3" w:name="heading_3"/>
      <w:r>
        <w:rPr>
          <w:rFonts w:hint="eastAsia" w:ascii="Times New Roman" w:hAnsi="Times New Roman" w:eastAsia="黑体" w:cs="Times New Roman"/>
          <w:b w:val="0"/>
          <w:color w:val="000000" w:themeColor="text1"/>
          <w:kern w:val="2"/>
          <w:sz w:val="32"/>
          <w:szCs w:val="32"/>
          <w14:textFill>
            <w14:solidFill>
              <w14:schemeClr w14:val="tx1"/>
            </w14:solidFill>
          </w14:textFill>
        </w:rPr>
        <w:t>三、功能介绍</w:t>
      </w:r>
      <w:bookmarkEnd w:id="3"/>
    </w:p>
    <w:p>
      <w:pPr>
        <w:widowControl/>
        <w:spacing w:line="560" w:lineRule="exact"/>
        <w:ind w:firstLine="643" w:firstLineChars="200"/>
        <w:rPr>
          <w:rFonts w:ascii="Times New Roman" w:hAnsi="Times New Roman" w:eastAsia="仿宋_GB2312" w:cs="Times New Roman"/>
          <w:b/>
          <w:bCs/>
          <w:color w:val="000000" w:themeColor="text1"/>
          <w:sz w:val="32"/>
          <w:szCs w:val="32"/>
          <w14:textFill>
            <w14:solidFill>
              <w14:schemeClr w14:val="tx1"/>
            </w14:solidFill>
          </w14:textFill>
        </w:rPr>
      </w:pPr>
      <w:bookmarkStart w:id="4" w:name="heading_4"/>
      <w:r>
        <w:rPr>
          <w:rFonts w:hint="eastAsia" w:ascii="Times New Roman" w:hAnsi="Times New Roman" w:eastAsia="仿宋_GB2312" w:cs="Times New Roman"/>
          <w:b/>
          <w:bCs/>
          <w:color w:val="000000" w:themeColor="text1"/>
          <w:sz w:val="32"/>
          <w:szCs w:val="32"/>
          <w14:textFill>
            <w14:solidFill>
              <w14:schemeClr w14:val="tx1"/>
            </w14:solidFill>
          </w14:textFill>
        </w:rPr>
        <w:t>1. 平台展示页</w:t>
      </w:r>
      <w:bookmarkEnd w:id="4"/>
    </w:p>
    <w:p>
      <w:pPr>
        <w:snapToGrid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无需登录，直接访问地址（</w:t>
      </w:r>
      <w:r>
        <w:rPr>
          <w:rFonts w:ascii="Times New Roman" w:hAnsi="Times New Roman" w:eastAsia="仿宋_GB2312" w:cs="Times New Roman"/>
          <w:color w:val="000000" w:themeColor="text1"/>
          <w:sz w:val="32"/>
          <w:szCs w:val="32"/>
          <w14:textFill>
            <w14:solidFill>
              <w14:schemeClr w14:val="tx1"/>
            </w14:solidFill>
          </w14:textFill>
        </w:rPr>
        <w:t>https://cxjfz.chinatorch.org.cn/</w:t>
      </w:r>
      <w:r>
        <w:rPr>
          <w:rFonts w:hint="eastAsia" w:ascii="仿宋_GB2312" w:hAnsi="仿宋_GB2312" w:eastAsia="仿宋_GB2312" w:cs="仿宋_GB2312"/>
          <w:color w:val="000000" w:themeColor="text1"/>
          <w:sz w:val="32"/>
          <w:szCs w:val="32"/>
          <w14:textFill>
            <w14:solidFill>
              <w14:schemeClr w14:val="tx1"/>
            </w14:solidFill>
          </w14:textFill>
        </w:rPr>
        <w:t>）即可查看关于“企业创新积分制”的概念介绍、成效意义、企业创新积分省级行政区分布和国家高新区分布、企业资质覆盖情况、企业得分分布情况等。</w:t>
      </w:r>
    </w:p>
    <w:p>
      <w:pPr>
        <w:snapToGrid w:val="0"/>
        <w:rPr>
          <w:rFonts w:hint="eastAsia" w:ascii="仿宋_GB2312" w:hAnsi="仿宋_GB2312" w:eastAsia="仿宋_GB2312" w:cs="仿宋_GB2312"/>
          <w:color w:val="000000" w:themeColor="text1"/>
          <w:sz w:val="32"/>
          <w:szCs w:val="32"/>
          <w14:textFill>
            <w14:solidFill>
              <w14:schemeClr w14:val="tx1"/>
            </w14:solidFill>
          </w14:textFill>
        </w:rPr>
      </w:pPr>
      <w:r>
        <w:drawing>
          <wp:inline distT="0" distB="0" distL="114300" distR="114300">
            <wp:extent cx="5271135" cy="2661920"/>
            <wp:effectExtent l="0" t="0" r="12065" b="508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271135" cy="2661920"/>
                    </a:xfrm>
                    <a:prstGeom prst="rect">
                      <a:avLst/>
                    </a:prstGeom>
                    <a:noFill/>
                    <a:ln>
                      <a:noFill/>
                    </a:ln>
                  </pic:spPr>
                </pic:pic>
              </a:graphicData>
            </a:graphic>
          </wp:inline>
        </w:drawing>
      </w:r>
    </w:p>
    <w:p>
      <w:pPr>
        <w:widowControl/>
        <w:snapToGrid w:val="0"/>
        <w:spacing w:line="560" w:lineRule="exact"/>
        <w:ind w:firstLine="643" w:firstLineChars="200"/>
        <w:rPr>
          <w:rFonts w:ascii="Times New Roman" w:hAnsi="Times New Roman" w:eastAsia="仿宋_GB2312" w:cs="Times New Roman"/>
          <w:b/>
          <w:bCs/>
          <w:color w:val="000000" w:themeColor="text1"/>
          <w:sz w:val="32"/>
          <w:szCs w:val="32"/>
          <w14:textFill>
            <w14:solidFill>
              <w14:schemeClr w14:val="tx1"/>
            </w14:solidFill>
          </w14:textFill>
        </w:rPr>
      </w:pPr>
      <w:bookmarkStart w:id="5" w:name="heading_5"/>
      <w:r>
        <w:rPr>
          <w:rFonts w:hint="eastAsia" w:ascii="Times New Roman" w:hAnsi="Times New Roman" w:eastAsia="仿宋_GB2312" w:cs="Times New Roman"/>
          <w:b/>
          <w:bCs/>
          <w:color w:val="000000" w:themeColor="text1"/>
          <w:sz w:val="32"/>
          <w:szCs w:val="32"/>
          <w14:textFill>
            <w14:solidFill>
              <w14:schemeClr w14:val="tx1"/>
            </w14:solidFill>
          </w14:textFill>
        </w:rPr>
        <w:t>2. 登录</w:t>
      </w:r>
      <w:bookmarkEnd w:id="5"/>
    </w:p>
    <w:p>
      <w:pPr>
        <w:snapToGrid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点击右上角登录按钮，弹出登录窗口，输入用户名、密码、验证码后，进入系统。</w:t>
      </w:r>
    </w:p>
    <w:p>
      <w:pPr>
        <w:widowControl/>
        <w:snapToGrid w:val="0"/>
        <w:spacing w:line="560" w:lineRule="exact"/>
        <w:ind w:firstLine="643" w:firstLineChars="200"/>
        <w:rPr>
          <w:rFonts w:ascii="Times New Roman" w:hAnsi="Times New Roman" w:eastAsia="仿宋_GB2312" w:cs="Times New Roman"/>
          <w:b/>
          <w:bCs/>
          <w:color w:val="000000" w:themeColor="text1"/>
          <w:sz w:val="32"/>
          <w:szCs w:val="32"/>
          <w14:textFill>
            <w14:solidFill>
              <w14:schemeClr w14:val="tx1"/>
            </w14:solidFill>
          </w14:textFill>
        </w:rPr>
      </w:pPr>
      <w:bookmarkStart w:id="6" w:name="heading_6"/>
      <w:r>
        <w:rPr>
          <w:rFonts w:hint="eastAsia" w:ascii="Times New Roman" w:hAnsi="Times New Roman" w:eastAsia="仿宋_GB2312" w:cs="Times New Roman"/>
          <w:b/>
          <w:bCs/>
          <w:color w:val="000000" w:themeColor="text1"/>
          <w:sz w:val="32"/>
          <w:szCs w:val="32"/>
          <w14:textFill>
            <w14:solidFill>
              <w14:schemeClr w14:val="tx1"/>
            </w14:solidFill>
          </w14:textFill>
        </w:rPr>
        <w:t>3. 企业总览</w:t>
      </w:r>
      <w:bookmarkEnd w:id="6"/>
    </w:p>
    <w:p>
      <w:pPr>
        <w:snapToGrid w:val="0"/>
        <w:spacing w:line="560" w:lineRule="exact"/>
        <w:ind w:firstLine="643" w:firstLineChars="200"/>
        <w:rPr>
          <w:rFonts w:hint="eastAsia" w:ascii="仿宋_GB2312" w:hAnsi="仿宋_GB2312" w:eastAsia="仿宋_GB2312" w:cs="仿宋_GB2312"/>
          <w:b/>
          <w:bCs/>
          <w:color w:val="000000" w:themeColor="text1"/>
          <w:sz w:val="32"/>
          <w:szCs w:val="32"/>
          <w14:textFill>
            <w14:solidFill>
              <w14:schemeClr w14:val="tx1"/>
            </w14:solidFill>
          </w14:textFill>
        </w:rPr>
      </w:pPr>
      <w:bookmarkStart w:id="7" w:name="heading_7"/>
      <w:r>
        <w:rPr>
          <w:rFonts w:hint="eastAsia" w:ascii="仿宋_GB2312" w:hAnsi="仿宋_GB2312" w:eastAsia="仿宋_GB2312" w:cs="仿宋_GB2312"/>
          <w:b/>
          <w:bCs/>
          <w:color w:val="000000" w:themeColor="text1"/>
          <w:sz w:val="32"/>
          <w:szCs w:val="32"/>
          <w14:textFill>
            <w14:solidFill>
              <w14:schemeClr w14:val="tx1"/>
            </w14:solidFill>
          </w14:textFill>
        </w:rPr>
        <w:t>3.1 企业榜单</w:t>
      </w:r>
      <w:bookmarkEnd w:id="7"/>
    </w:p>
    <w:p>
      <w:pPr>
        <w:snapToGrid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可通过企业榜单查看按行政区划维度和国家高新区维度的企业创新积分分布排名情况。</w:t>
      </w:r>
    </w:p>
    <w:p>
      <w:pPr>
        <w:snapToGrid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A.点击“行政区划维度”可根据省市区县行政区划向下钻取辖区内企业排行分布；</w:t>
      </w:r>
    </w:p>
    <w:p>
      <w:pPr>
        <w:snapToGrid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B.点击“高新区维度”可根据国家高新区向下钻取辖区内企业排行分布。</w:t>
      </w:r>
    </w:p>
    <w:p>
      <w:pPr>
        <w:snapToGrid w:val="0"/>
        <w:rPr>
          <w:rFonts w:hint="eastAsia" w:ascii="仿宋_GB2312" w:hAnsi="仿宋_GB2312" w:eastAsia="仿宋_GB2312" w:cs="仿宋_GB2312"/>
          <w:color w:val="000000" w:themeColor="text1"/>
          <w:sz w:val="32"/>
          <w:szCs w:val="32"/>
          <w14:textFill>
            <w14:solidFill>
              <w14:schemeClr w14:val="tx1"/>
            </w14:solidFill>
          </w14:textFill>
        </w:rPr>
      </w:pPr>
      <w:r>
        <w:rPr>
          <w:rFonts w:ascii="宋体" w:hAnsi="宋体" w:eastAsia="宋体" w:cs="宋体"/>
          <w:kern w:val="0"/>
          <w:sz w:val="24"/>
          <w:lang w:bidi="ar"/>
        </w:rPr>
        <w:drawing>
          <wp:inline distT="0" distB="0" distL="114300" distR="114300">
            <wp:extent cx="6081395" cy="3438525"/>
            <wp:effectExtent l="0" t="0" r="14605" b="15875"/>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5"/>
                    <a:stretch>
                      <a:fillRect/>
                    </a:stretch>
                  </pic:blipFill>
                  <pic:spPr>
                    <a:xfrm>
                      <a:off x="0" y="0"/>
                      <a:ext cx="6081395" cy="3438525"/>
                    </a:xfrm>
                    <a:prstGeom prst="rect">
                      <a:avLst/>
                    </a:prstGeom>
                    <a:noFill/>
                    <a:ln w="9525">
                      <a:noFill/>
                    </a:ln>
                  </pic:spPr>
                </pic:pic>
              </a:graphicData>
            </a:graphic>
          </wp:inline>
        </w:drawing>
      </w:r>
    </w:p>
    <w:p>
      <w:pPr>
        <w:snapToGrid w:val="0"/>
        <w:spacing w:line="560" w:lineRule="exact"/>
        <w:ind w:firstLine="643" w:firstLineChars="200"/>
        <w:rPr>
          <w:rFonts w:hint="eastAsia" w:ascii="仿宋_GB2312" w:hAnsi="仿宋_GB2312" w:eastAsia="仿宋_GB2312" w:cs="仿宋_GB2312"/>
          <w:b/>
          <w:bCs/>
          <w:color w:val="000000" w:themeColor="text1"/>
          <w:sz w:val="32"/>
          <w:szCs w:val="32"/>
          <w14:textFill>
            <w14:solidFill>
              <w14:schemeClr w14:val="tx1"/>
            </w14:solidFill>
          </w14:textFill>
        </w:rPr>
      </w:pPr>
      <w:bookmarkStart w:id="8" w:name="heading_8"/>
      <w:r>
        <w:rPr>
          <w:rFonts w:hint="eastAsia" w:ascii="仿宋_GB2312" w:hAnsi="仿宋_GB2312" w:eastAsia="仿宋_GB2312" w:cs="仿宋_GB2312"/>
          <w:b/>
          <w:bCs/>
          <w:color w:val="000000" w:themeColor="text1"/>
          <w:sz w:val="32"/>
          <w:szCs w:val="32"/>
          <w14:textFill>
            <w14:solidFill>
              <w14:schemeClr w14:val="tx1"/>
            </w14:solidFill>
          </w14:textFill>
        </w:rPr>
        <w:t>3.2 技术领域</w:t>
      </w:r>
      <w:bookmarkEnd w:id="8"/>
    </w:p>
    <w:p>
      <w:pPr>
        <w:snapToGrid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可通过环形占比图查看在榜单条件下筛选出的技术领域占比情况，也可点击某一领域，添加此筛选条件。</w:t>
      </w:r>
    </w:p>
    <w:p>
      <w:pPr>
        <w:snapToGrid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点击“某一领域”可将此筛选条件添加到整个企业总览的页面内，可视化图表和企业类别均遵循该筛选条件。</w:t>
      </w:r>
    </w:p>
    <w:p>
      <w:pPr>
        <w:snapToGrid w:val="0"/>
        <w:rPr>
          <w:rFonts w:hint="eastAsia" w:ascii="仿宋_GB2312" w:hAnsi="仿宋_GB2312" w:eastAsia="仿宋_GB2312" w:cs="仿宋_GB2312"/>
          <w:color w:val="000000" w:themeColor="text1"/>
          <w:sz w:val="32"/>
          <w:szCs w:val="32"/>
          <w14:textFill>
            <w14:solidFill>
              <w14:schemeClr w14:val="tx1"/>
            </w14:solidFill>
          </w14:textFill>
        </w:rPr>
      </w:pPr>
      <w:r>
        <w:rPr>
          <w:rFonts w:ascii="宋体" w:hAnsi="宋体" w:eastAsia="宋体" w:cs="宋体"/>
          <w:kern w:val="0"/>
          <w:sz w:val="24"/>
          <w:lang w:bidi="ar"/>
        </w:rPr>
        <w:drawing>
          <wp:inline distT="0" distB="0" distL="114300" distR="114300">
            <wp:extent cx="5122545" cy="2841625"/>
            <wp:effectExtent l="0" t="0" r="8255" b="3175"/>
            <wp:docPr id="1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6"/>
                    <pic:cNvPicPr>
                      <a:picLocks noChangeAspect="1"/>
                    </pic:cNvPicPr>
                  </pic:nvPicPr>
                  <pic:blipFill>
                    <a:blip r:embed="rId6"/>
                    <a:stretch>
                      <a:fillRect/>
                    </a:stretch>
                  </pic:blipFill>
                  <pic:spPr>
                    <a:xfrm>
                      <a:off x="0" y="0"/>
                      <a:ext cx="5122545" cy="2841625"/>
                    </a:xfrm>
                    <a:prstGeom prst="rect">
                      <a:avLst/>
                    </a:prstGeom>
                    <a:noFill/>
                    <a:ln w="9525">
                      <a:noFill/>
                    </a:ln>
                  </pic:spPr>
                </pic:pic>
              </a:graphicData>
            </a:graphic>
          </wp:inline>
        </w:drawing>
      </w:r>
    </w:p>
    <w:p>
      <w:pPr>
        <w:snapToGrid w:val="0"/>
        <w:spacing w:line="560" w:lineRule="exact"/>
        <w:ind w:firstLine="643" w:firstLineChars="200"/>
        <w:rPr>
          <w:rFonts w:hint="eastAsia" w:ascii="仿宋_GB2312" w:hAnsi="仿宋_GB2312" w:eastAsia="仿宋_GB2312" w:cs="仿宋_GB2312"/>
          <w:b/>
          <w:bCs/>
          <w:color w:val="000000" w:themeColor="text1"/>
          <w:sz w:val="32"/>
          <w:szCs w:val="32"/>
          <w14:textFill>
            <w14:solidFill>
              <w14:schemeClr w14:val="tx1"/>
            </w14:solidFill>
          </w14:textFill>
        </w:rPr>
      </w:pPr>
      <w:bookmarkStart w:id="9" w:name="heading_9"/>
      <w:r>
        <w:rPr>
          <w:rFonts w:hint="eastAsia" w:ascii="仿宋_GB2312" w:hAnsi="仿宋_GB2312" w:eastAsia="仿宋_GB2312" w:cs="仿宋_GB2312"/>
          <w:b/>
          <w:bCs/>
          <w:color w:val="000000" w:themeColor="text1"/>
          <w:sz w:val="32"/>
          <w:szCs w:val="32"/>
          <w14:textFill>
            <w14:solidFill>
              <w14:schemeClr w14:val="tx1"/>
            </w14:solidFill>
          </w14:textFill>
        </w:rPr>
        <w:t>3.3 一级行业</w:t>
      </w:r>
      <w:bookmarkEnd w:id="9"/>
    </w:p>
    <w:p>
      <w:pPr>
        <w:snapToGrid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通过行业环形占比图查看在榜单条件下筛选出的行业情况，也可点击某一行业交叉筛选。</w:t>
      </w:r>
    </w:p>
    <w:p>
      <w:pPr>
        <w:snapToGrid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点击“某一行业”可将此筛选条件添加到整个企业总览的页面内，可视化图表和企业类别均遵循该筛选条件。</w:t>
      </w:r>
    </w:p>
    <w:p>
      <w:pPr>
        <w:snapToGrid w:val="0"/>
        <w:rPr>
          <w:rFonts w:hint="eastAsia" w:ascii="仿宋_GB2312" w:hAnsi="仿宋_GB2312" w:eastAsia="仿宋_GB2312" w:cs="仿宋_GB2312"/>
          <w:color w:val="000000" w:themeColor="text1"/>
          <w:sz w:val="32"/>
          <w:szCs w:val="32"/>
          <w14:textFill>
            <w14:solidFill>
              <w14:schemeClr w14:val="tx1"/>
            </w14:solidFill>
          </w14:textFill>
        </w:rPr>
      </w:pPr>
      <w:r>
        <w:rPr>
          <w:rFonts w:ascii="宋体" w:hAnsi="宋体" w:eastAsia="宋体" w:cs="宋体"/>
          <w:kern w:val="0"/>
          <w:sz w:val="24"/>
          <w:lang w:bidi="ar"/>
        </w:rPr>
        <w:drawing>
          <wp:inline distT="0" distB="0" distL="114300" distR="114300">
            <wp:extent cx="5231765" cy="3372485"/>
            <wp:effectExtent l="0" t="0" r="635" b="5715"/>
            <wp:docPr id="1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IMG_256"/>
                    <pic:cNvPicPr>
                      <a:picLocks noChangeAspect="1"/>
                    </pic:cNvPicPr>
                  </pic:nvPicPr>
                  <pic:blipFill>
                    <a:blip r:embed="rId7"/>
                    <a:stretch>
                      <a:fillRect/>
                    </a:stretch>
                  </pic:blipFill>
                  <pic:spPr>
                    <a:xfrm>
                      <a:off x="0" y="0"/>
                      <a:ext cx="5231765" cy="3372485"/>
                    </a:xfrm>
                    <a:prstGeom prst="rect">
                      <a:avLst/>
                    </a:prstGeom>
                    <a:noFill/>
                    <a:ln w="9525">
                      <a:noFill/>
                    </a:ln>
                  </pic:spPr>
                </pic:pic>
              </a:graphicData>
            </a:graphic>
          </wp:inline>
        </w:drawing>
      </w:r>
    </w:p>
    <w:p>
      <w:pPr>
        <w:snapToGrid w:val="0"/>
        <w:spacing w:line="560" w:lineRule="exact"/>
        <w:ind w:firstLine="643" w:firstLineChars="200"/>
        <w:rPr>
          <w:rFonts w:hint="eastAsia" w:ascii="仿宋_GB2312" w:hAnsi="仿宋_GB2312" w:eastAsia="仿宋_GB2312" w:cs="仿宋_GB2312"/>
          <w:b/>
          <w:bCs/>
          <w:color w:val="000000" w:themeColor="text1"/>
          <w:sz w:val="32"/>
          <w:szCs w:val="32"/>
          <w14:textFill>
            <w14:solidFill>
              <w14:schemeClr w14:val="tx1"/>
            </w14:solidFill>
          </w14:textFill>
        </w:rPr>
      </w:pPr>
      <w:bookmarkStart w:id="10" w:name="heading_11"/>
      <w:r>
        <w:rPr>
          <w:rFonts w:hint="eastAsia" w:ascii="仿宋_GB2312" w:hAnsi="仿宋_GB2312" w:eastAsia="仿宋_GB2312" w:cs="仿宋_GB2312"/>
          <w:b/>
          <w:bCs/>
          <w:color w:val="000000" w:themeColor="text1"/>
          <w:sz w:val="32"/>
          <w:szCs w:val="32"/>
          <w14:textFill>
            <w14:solidFill>
              <w14:schemeClr w14:val="tx1"/>
            </w14:solidFill>
          </w14:textFill>
        </w:rPr>
        <w:t>3.4 发展阶段</w:t>
      </w:r>
      <w:bookmarkEnd w:id="10"/>
    </w:p>
    <w:p>
      <w:pPr>
        <w:snapToGrid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可通过点击“发展阶段”的柱状图，筛选出该发展阶段下的企业，可视化图表和企业类别均遵循该筛选条件。</w:t>
      </w:r>
    </w:p>
    <w:p>
      <w:pPr>
        <w:snapToGrid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例如：点击“稳定期”，则当前页面的可视化图表和企业列表（企业数量）都会遵循稳定期这一筛选条件。</w:t>
      </w:r>
    </w:p>
    <w:p>
      <w:pPr>
        <w:snapToGrid w:val="0"/>
        <w:rPr>
          <w:rFonts w:hint="eastAsia" w:ascii="仿宋_GB2312" w:hAnsi="仿宋_GB2312" w:eastAsia="仿宋_GB2312" w:cs="仿宋_GB2312"/>
          <w:color w:val="000000" w:themeColor="text1"/>
          <w:sz w:val="32"/>
          <w:szCs w:val="32"/>
          <w14:textFill>
            <w14:solidFill>
              <w14:schemeClr w14:val="tx1"/>
            </w14:solidFill>
          </w14:textFill>
        </w:rPr>
      </w:pPr>
      <w:r>
        <w:rPr>
          <w:rFonts w:ascii="宋体" w:hAnsi="宋体" w:eastAsia="宋体" w:cs="宋体"/>
          <w:kern w:val="0"/>
          <w:sz w:val="24"/>
          <w:lang w:bidi="ar"/>
        </w:rPr>
        <w:drawing>
          <wp:inline distT="0" distB="0" distL="114300" distR="114300">
            <wp:extent cx="4973955" cy="3211830"/>
            <wp:effectExtent l="0" t="0" r="4445" b="13970"/>
            <wp:docPr id="1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IMG_256"/>
                    <pic:cNvPicPr>
                      <a:picLocks noChangeAspect="1"/>
                    </pic:cNvPicPr>
                  </pic:nvPicPr>
                  <pic:blipFill>
                    <a:blip r:embed="rId8"/>
                    <a:stretch>
                      <a:fillRect/>
                    </a:stretch>
                  </pic:blipFill>
                  <pic:spPr>
                    <a:xfrm>
                      <a:off x="0" y="0"/>
                      <a:ext cx="4973955" cy="3211830"/>
                    </a:xfrm>
                    <a:prstGeom prst="rect">
                      <a:avLst/>
                    </a:prstGeom>
                    <a:noFill/>
                    <a:ln w="9525">
                      <a:noFill/>
                    </a:ln>
                  </pic:spPr>
                </pic:pic>
              </a:graphicData>
            </a:graphic>
          </wp:inline>
        </w:drawing>
      </w:r>
    </w:p>
    <w:p>
      <w:pPr>
        <w:snapToGrid w:val="0"/>
        <w:spacing w:line="560" w:lineRule="exact"/>
        <w:ind w:firstLine="643" w:firstLineChars="200"/>
        <w:rPr>
          <w:rFonts w:hint="eastAsia" w:ascii="仿宋_GB2312" w:hAnsi="仿宋_GB2312" w:eastAsia="仿宋_GB2312" w:cs="仿宋_GB2312"/>
          <w:b/>
          <w:bCs/>
          <w:color w:val="000000" w:themeColor="text1"/>
          <w:sz w:val="32"/>
          <w:szCs w:val="32"/>
          <w14:textFill>
            <w14:solidFill>
              <w14:schemeClr w14:val="tx1"/>
            </w14:solidFill>
          </w14:textFill>
        </w:rPr>
      </w:pPr>
      <w:bookmarkStart w:id="11" w:name="heading_12"/>
      <w:r>
        <w:rPr>
          <w:rFonts w:hint="eastAsia" w:ascii="仿宋_GB2312" w:hAnsi="仿宋_GB2312" w:eastAsia="仿宋_GB2312" w:cs="仿宋_GB2312"/>
          <w:b/>
          <w:bCs/>
          <w:color w:val="000000" w:themeColor="text1"/>
          <w:sz w:val="32"/>
          <w:szCs w:val="32"/>
          <w14:textFill>
            <w14:solidFill>
              <w14:schemeClr w14:val="tx1"/>
            </w14:solidFill>
          </w14:textFill>
        </w:rPr>
        <w:t>3.5 企业数量（企业列表）</w:t>
      </w:r>
      <w:bookmarkEnd w:id="11"/>
    </w:p>
    <w:p>
      <w:pPr>
        <w:snapToGrid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根据“企业总览”页面的图表筛选出的企业列表，根据权限配有导出按钮，可导出企业名单。</w:t>
      </w:r>
    </w:p>
    <w:p>
      <w:pPr>
        <w:snapToGrid w:val="0"/>
        <w:rPr>
          <w:rFonts w:hint="eastAsia" w:ascii="仿宋_GB2312" w:hAnsi="仿宋_GB2312" w:eastAsia="仿宋_GB2312" w:cs="仿宋_GB2312"/>
          <w:color w:val="000000" w:themeColor="text1"/>
          <w:sz w:val="32"/>
          <w:szCs w:val="32"/>
          <w14:textFill>
            <w14:solidFill>
              <w14:schemeClr w14:val="tx1"/>
            </w14:solidFill>
          </w14:textFill>
        </w:rPr>
      </w:pPr>
      <w:r>
        <w:drawing>
          <wp:inline distT="0" distB="0" distL="114300" distR="114300">
            <wp:extent cx="5270500" cy="3009265"/>
            <wp:effectExtent l="0" t="0" r="12700" b="1333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9"/>
                    <a:stretch>
                      <a:fillRect/>
                    </a:stretch>
                  </pic:blipFill>
                  <pic:spPr>
                    <a:xfrm>
                      <a:off x="0" y="0"/>
                      <a:ext cx="5270500" cy="3009265"/>
                    </a:xfrm>
                    <a:prstGeom prst="rect">
                      <a:avLst/>
                    </a:prstGeom>
                    <a:noFill/>
                    <a:ln>
                      <a:noFill/>
                    </a:ln>
                  </pic:spPr>
                </pic:pic>
              </a:graphicData>
            </a:graphic>
          </wp:inline>
        </w:drawing>
      </w:r>
    </w:p>
    <w:p>
      <w:pPr>
        <w:snapToGrid w:val="0"/>
        <w:spacing w:line="560" w:lineRule="exact"/>
        <w:ind w:firstLine="643" w:firstLineChars="200"/>
        <w:rPr>
          <w:rFonts w:hint="eastAsia" w:ascii="仿宋_GB2312" w:hAnsi="仿宋_GB2312" w:eastAsia="仿宋_GB2312" w:cs="仿宋_GB2312"/>
          <w:b/>
          <w:bCs/>
          <w:color w:val="000000" w:themeColor="text1"/>
          <w:sz w:val="32"/>
          <w:szCs w:val="32"/>
          <w14:textFill>
            <w14:solidFill>
              <w14:schemeClr w14:val="tx1"/>
            </w14:solidFill>
          </w14:textFill>
        </w:rPr>
      </w:pPr>
      <w:bookmarkStart w:id="12" w:name="heading_13"/>
      <w:r>
        <w:rPr>
          <w:rFonts w:hint="eastAsia" w:ascii="仿宋_GB2312" w:hAnsi="仿宋_GB2312" w:eastAsia="仿宋_GB2312" w:cs="仿宋_GB2312"/>
          <w:b/>
          <w:bCs/>
          <w:color w:val="000000" w:themeColor="text1"/>
          <w:sz w:val="32"/>
          <w:szCs w:val="32"/>
          <w14:textFill>
            <w14:solidFill>
              <w14:schemeClr w14:val="tx1"/>
            </w14:solidFill>
          </w14:textFill>
        </w:rPr>
        <w:t>3.6 企业详情</w:t>
      </w:r>
      <w:bookmarkEnd w:id="12"/>
    </w:p>
    <w:p>
      <w:pPr>
        <w:snapToGrid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点击企业的名称，则进入企业详情页，政府侧可查看辖区内企业详细数据，企业端仅可查看本企业基本信息和得分情况。</w:t>
      </w:r>
    </w:p>
    <w:p>
      <w:pPr>
        <w:snapToGrid w:val="0"/>
        <w:rPr>
          <w:rFonts w:hint="eastAsia" w:ascii="仿宋_GB2312" w:hAnsi="仿宋_GB2312" w:eastAsia="仿宋_GB2312" w:cs="仿宋_GB2312"/>
          <w:color w:val="000000" w:themeColor="text1"/>
          <w:sz w:val="32"/>
          <w:szCs w:val="32"/>
          <w14:textFill>
            <w14:solidFill>
              <w14:schemeClr w14:val="tx1"/>
            </w14:solidFill>
          </w14:textFill>
        </w:rPr>
      </w:pPr>
      <w:r>
        <w:drawing>
          <wp:inline distT="0" distB="0" distL="114300" distR="114300">
            <wp:extent cx="5273675" cy="3354705"/>
            <wp:effectExtent l="0" t="0" r="9525" b="2349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0"/>
                    <a:stretch>
                      <a:fillRect/>
                    </a:stretch>
                  </pic:blipFill>
                  <pic:spPr>
                    <a:xfrm>
                      <a:off x="0" y="0"/>
                      <a:ext cx="5273675" cy="3354705"/>
                    </a:xfrm>
                    <a:prstGeom prst="rect">
                      <a:avLst/>
                    </a:prstGeom>
                    <a:noFill/>
                    <a:ln>
                      <a:noFill/>
                    </a:ln>
                  </pic:spPr>
                </pic:pic>
              </a:graphicData>
            </a:graphic>
          </wp:inline>
        </w:drawing>
      </w:r>
    </w:p>
    <w:p>
      <w:pPr>
        <w:widowControl/>
        <w:snapToGrid w:val="0"/>
        <w:spacing w:line="560" w:lineRule="exact"/>
        <w:ind w:firstLine="643" w:firstLineChars="200"/>
        <w:rPr>
          <w:rFonts w:ascii="Times New Roman" w:hAnsi="Times New Roman" w:eastAsia="仿宋_GB2312" w:cs="Times New Roman"/>
          <w:b/>
          <w:bCs/>
          <w:color w:val="000000" w:themeColor="text1"/>
          <w:sz w:val="32"/>
          <w:szCs w:val="32"/>
          <w14:textFill>
            <w14:solidFill>
              <w14:schemeClr w14:val="tx1"/>
            </w14:solidFill>
          </w14:textFill>
        </w:rPr>
      </w:pPr>
      <w:bookmarkStart w:id="13" w:name="heading_14"/>
      <w:r>
        <w:rPr>
          <w:rFonts w:hint="eastAsia" w:ascii="Times New Roman" w:hAnsi="Times New Roman" w:eastAsia="仿宋_GB2312" w:cs="Times New Roman"/>
          <w:b/>
          <w:bCs/>
          <w:color w:val="000000" w:themeColor="text1"/>
          <w:sz w:val="32"/>
          <w:szCs w:val="32"/>
          <w14:textFill>
            <w14:solidFill>
              <w14:schemeClr w14:val="tx1"/>
            </w14:solidFill>
          </w14:textFill>
        </w:rPr>
        <w:t>4. 测算分数</w:t>
      </w:r>
      <w:bookmarkEnd w:id="13"/>
    </w:p>
    <w:p>
      <w:pPr>
        <w:snapToGrid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政府侧可通过“导入测算”下载模板，填写企业相关数据并上传文件，系统将批量测算导入企业的“预估创新积分”分值。</w:t>
      </w:r>
    </w:p>
    <w:p>
      <w:pPr>
        <w:snapToGrid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A.点击“导入测算”下载模板，上传文件，系统将自动测算；</w:t>
      </w:r>
    </w:p>
    <w:p>
      <w:pPr>
        <w:snapToGrid w:val="0"/>
        <w:rPr>
          <w:rFonts w:hint="eastAsia" w:ascii="仿宋_GB2312" w:hAnsi="仿宋_GB2312" w:eastAsia="仿宋_GB2312" w:cs="仿宋_GB2312"/>
          <w:color w:val="000000" w:themeColor="text1"/>
          <w:sz w:val="32"/>
          <w:szCs w:val="32"/>
          <w14:textFill>
            <w14:solidFill>
              <w14:schemeClr w14:val="tx1"/>
            </w14:solidFill>
          </w14:textFill>
        </w:rPr>
      </w:pPr>
      <w:r>
        <w:drawing>
          <wp:inline distT="0" distB="0" distL="114300" distR="114300">
            <wp:extent cx="5269865" cy="2328545"/>
            <wp:effectExtent l="0" t="0" r="13335" b="8255"/>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11"/>
                    <a:stretch>
                      <a:fillRect/>
                    </a:stretch>
                  </pic:blipFill>
                  <pic:spPr>
                    <a:xfrm>
                      <a:off x="0" y="0"/>
                      <a:ext cx="5269865" cy="2328545"/>
                    </a:xfrm>
                    <a:prstGeom prst="rect">
                      <a:avLst/>
                    </a:prstGeom>
                    <a:noFill/>
                    <a:ln>
                      <a:noFill/>
                    </a:ln>
                  </pic:spPr>
                </pic:pic>
              </a:graphicData>
            </a:graphic>
          </wp:inline>
        </w:drawing>
      </w:r>
    </w:p>
    <w:p>
      <w:pPr>
        <w:snapToGrid w:val="0"/>
        <w:rPr>
          <w:rFonts w:hint="eastAsia" w:ascii="仿宋_GB2312" w:hAnsi="仿宋_GB2312" w:eastAsia="仿宋_GB2312" w:cs="仿宋_GB2312"/>
          <w:color w:val="000000" w:themeColor="text1"/>
          <w:sz w:val="32"/>
          <w:szCs w:val="32"/>
          <w14:textFill>
            <w14:solidFill>
              <w14:schemeClr w14:val="tx1"/>
            </w14:solidFill>
          </w14:textFill>
        </w:rPr>
      </w:pPr>
      <w:r>
        <w:drawing>
          <wp:inline distT="0" distB="0" distL="114300" distR="114300">
            <wp:extent cx="5273675" cy="2447925"/>
            <wp:effectExtent l="0" t="0" r="9525" b="1587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2"/>
                    <a:stretch>
                      <a:fillRect/>
                    </a:stretch>
                  </pic:blipFill>
                  <pic:spPr>
                    <a:xfrm>
                      <a:off x="0" y="0"/>
                      <a:ext cx="5273675" cy="2447925"/>
                    </a:xfrm>
                    <a:prstGeom prst="rect">
                      <a:avLst/>
                    </a:prstGeom>
                    <a:noFill/>
                    <a:ln>
                      <a:noFill/>
                    </a:ln>
                  </pic:spPr>
                </pic:pic>
              </a:graphicData>
            </a:graphic>
          </wp:inline>
        </w:drawing>
      </w:r>
    </w:p>
    <w:p>
      <w:pPr>
        <w:snapToGrid w:val="0"/>
        <w:rPr>
          <w:rFonts w:hint="eastAsia" w:ascii="仿宋_GB2312" w:hAnsi="仿宋_GB2312" w:eastAsia="仿宋_GB2312" w:cs="仿宋_GB2312"/>
          <w:color w:val="000000" w:themeColor="text1"/>
          <w:sz w:val="32"/>
          <w:szCs w:val="32"/>
          <w14:textFill>
            <w14:solidFill>
              <w14:schemeClr w14:val="tx1"/>
            </w14:solidFill>
          </w14:textFill>
        </w:rPr>
      </w:pPr>
      <w:r>
        <w:drawing>
          <wp:inline distT="0" distB="0" distL="114300" distR="114300">
            <wp:extent cx="5287010" cy="2290445"/>
            <wp:effectExtent l="0" t="0" r="21590" b="2095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13"/>
                    <a:stretch>
                      <a:fillRect/>
                    </a:stretch>
                  </pic:blipFill>
                  <pic:spPr>
                    <a:xfrm>
                      <a:off x="0" y="0"/>
                      <a:ext cx="5287010" cy="2290445"/>
                    </a:xfrm>
                    <a:prstGeom prst="rect">
                      <a:avLst/>
                    </a:prstGeom>
                    <a:noFill/>
                    <a:ln>
                      <a:noFill/>
                    </a:ln>
                  </pic:spPr>
                </pic:pic>
              </a:graphicData>
            </a:graphic>
          </wp:inline>
        </w:drawing>
      </w:r>
    </w:p>
    <w:p>
      <w:pPr>
        <w:snapToGrid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B.创新积分测算完成后会生成测算记录，可在此页面查看预估分值，若测算企业为已入统（基础数据库内已有该企业）企业则会直接展示该企业的分值，若测算企业未入统（基础数据库内无该企业）则展示测算结果预估分值。</w:t>
      </w:r>
    </w:p>
    <w:p>
      <w:pPr>
        <w:snapToGrid w:val="0"/>
        <w:rPr>
          <w:rFonts w:hint="eastAsia" w:ascii="仿宋_GB2312" w:hAnsi="仿宋_GB2312" w:eastAsia="仿宋_GB2312" w:cs="仿宋_GB2312"/>
          <w:color w:val="000000" w:themeColor="text1"/>
          <w:sz w:val="32"/>
          <w:szCs w:val="32"/>
          <w14:textFill>
            <w14:solidFill>
              <w14:schemeClr w14:val="tx1"/>
            </w14:solidFill>
          </w14:textFill>
        </w:rPr>
      </w:pPr>
      <w:r>
        <w:drawing>
          <wp:inline distT="0" distB="0" distL="114300" distR="114300">
            <wp:extent cx="5273675" cy="2490470"/>
            <wp:effectExtent l="0" t="0" r="9525" b="2413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14"/>
                    <a:stretch>
                      <a:fillRect/>
                    </a:stretch>
                  </pic:blipFill>
                  <pic:spPr>
                    <a:xfrm>
                      <a:off x="0" y="0"/>
                      <a:ext cx="5273675" cy="2490470"/>
                    </a:xfrm>
                    <a:prstGeom prst="rect">
                      <a:avLst/>
                    </a:prstGeom>
                    <a:noFill/>
                    <a:ln>
                      <a:noFill/>
                    </a:ln>
                  </pic:spPr>
                </pic:pic>
              </a:graphicData>
            </a:graphic>
          </wp:inline>
        </w:drawing>
      </w:r>
    </w:p>
    <w:p>
      <w:pPr>
        <w:snapToGrid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C.点击“企业名称”后则展示企业的详情。</w:t>
      </w:r>
    </w:p>
    <w:p>
      <w:pPr>
        <w:snapToGrid w:val="0"/>
        <w:rPr>
          <w:rFonts w:hint="eastAsia" w:ascii="仿宋_GB2312" w:hAnsi="仿宋_GB2312" w:eastAsia="仿宋_GB2312" w:cs="仿宋_GB2312"/>
          <w:color w:val="000000" w:themeColor="text1"/>
          <w:sz w:val="32"/>
          <w:szCs w:val="32"/>
          <w14:textFill>
            <w14:solidFill>
              <w14:schemeClr w14:val="tx1"/>
            </w14:solidFill>
          </w14:textFill>
        </w:rPr>
      </w:pPr>
      <w:r>
        <w:drawing>
          <wp:inline distT="0" distB="0" distL="114300" distR="114300">
            <wp:extent cx="5273675" cy="3354705"/>
            <wp:effectExtent l="0" t="0" r="9525" b="2349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10"/>
                    <a:stretch>
                      <a:fillRect/>
                    </a:stretch>
                  </pic:blipFill>
                  <pic:spPr>
                    <a:xfrm>
                      <a:off x="0" y="0"/>
                      <a:ext cx="5273675" cy="3354705"/>
                    </a:xfrm>
                    <a:prstGeom prst="rect">
                      <a:avLst/>
                    </a:prstGeom>
                    <a:noFill/>
                    <a:ln>
                      <a:noFill/>
                    </a:ln>
                  </pic:spPr>
                </pic:pic>
              </a:graphicData>
            </a:graphic>
          </wp:inline>
        </w:drawing>
      </w:r>
    </w:p>
    <w:p>
      <w:pPr>
        <w:snapToGrid w:val="0"/>
        <w:rPr>
          <w:rFonts w:hint="eastAsia" w:ascii="仿宋_GB2312" w:hAnsi="仿宋_GB2312" w:eastAsia="仿宋_GB2312" w:cs="仿宋_GB2312"/>
          <w:b/>
          <w:bCs/>
          <w:color w:val="000000" w:themeColor="text1"/>
          <w:sz w:val="32"/>
          <w:szCs w:val="32"/>
          <w14:textFill>
            <w14:solidFill>
              <w14:schemeClr w14:val="tx1"/>
            </w14:solidFill>
          </w14:textFill>
        </w:rPr>
      </w:pPr>
    </w:p>
    <w:p>
      <w:pPr>
        <w:snapToGrid w:val="0"/>
        <w:spacing w:line="560" w:lineRule="exact"/>
        <w:ind w:firstLine="643" w:firstLineChars="200"/>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5. 待办事项</w:t>
      </w:r>
    </w:p>
    <w:p>
      <w:pPr>
        <w:widowControl/>
        <w:ind w:firstLine="640" w:firstLineChars="200"/>
        <w:jc w:val="left"/>
      </w:pPr>
      <w:r>
        <w:rPr>
          <w:rFonts w:hint="eastAsia" w:ascii="仿宋_GB2312" w:hAnsi="仿宋_GB2312" w:eastAsia="仿宋_GB2312" w:cs="仿宋_GB2312"/>
          <w:color w:val="000000" w:themeColor="text1"/>
          <w:sz w:val="32"/>
          <w:szCs w:val="32"/>
          <w14:textFill>
            <w14:solidFill>
              <w14:schemeClr w14:val="tx1"/>
            </w14:solidFill>
          </w14:textFill>
        </w:rPr>
        <w:t>接收方（</w:t>
      </w:r>
      <w:r>
        <w:rPr>
          <w:rFonts w:hint="eastAsia" w:ascii="Times New Roman" w:hAnsi="Times New Roman" w:eastAsia="仿宋_GB2312" w:cs="Times New Roman"/>
          <w:color w:val="000000" w:themeColor="text1"/>
          <w:sz w:val="32"/>
          <w:szCs w:val="32"/>
          <w14:textFill>
            <w14:solidFill>
              <w14:schemeClr w14:val="tx1"/>
            </w14:solidFill>
          </w14:textFill>
        </w:rPr>
        <w:t>各地相关主管部门和国家高新区</w:t>
      </w:r>
      <w:r>
        <w:rPr>
          <w:rFonts w:hint="eastAsia" w:ascii="仿宋_GB2312" w:hAnsi="仿宋_GB2312" w:eastAsia="仿宋_GB2312" w:cs="仿宋_GB2312"/>
          <w:color w:val="000000" w:themeColor="text1"/>
          <w:sz w:val="32"/>
          <w:szCs w:val="32"/>
          <w14:textFill>
            <w14:solidFill>
              <w14:schemeClr w14:val="tx1"/>
            </w14:solidFill>
          </w14:textFill>
        </w:rPr>
        <w:t>）接收待办通知，上传文件完成火炬中心发布的待办事项。</w:t>
      </w:r>
    </w:p>
    <w:p>
      <w:pPr>
        <w:widowControl/>
        <w:ind w:firstLine="640" w:firstLineChars="200"/>
        <w:jc w:val="lef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A.接收方登录系统后，则悬浮展示已经发布的待办通知，点击去完成则进入待办事项列表；</w:t>
      </w:r>
    </w:p>
    <w:p>
      <w:pPr>
        <w:widowControl/>
        <w:jc w:val="center"/>
      </w:pPr>
      <w:r>
        <w:drawing>
          <wp:inline distT="0" distB="0" distL="114300" distR="114300">
            <wp:extent cx="4805680" cy="1847850"/>
            <wp:effectExtent l="0" t="0" r="20320" b="635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5"/>
                    <a:stretch>
                      <a:fillRect/>
                    </a:stretch>
                  </pic:blipFill>
                  <pic:spPr>
                    <a:xfrm>
                      <a:off x="0" y="0"/>
                      <a:ext cx="4805680" cy="1847850"/>
                    </a:xfrm>
                    <a:prstGeom prst="rect">
                      <a:avLst/>
                    </a:prstGeom>
                    <a:noFill/>
                    <a:ln>
                      <a:noFill/>
                    </a:ln>
                  </pic:spPr>
                </pic:pic>
              </a:graphicData>
            </a:graphic>
          </wp:inline>
        </w:drawing>
      </w:r>
    </w:p>
    <w:p>
      <w:pPr>
        <w:widowControl/>
        <w:ind w:firstLine="640" w:firstLineChars="200"/>
        <w:jc w:val="lef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B.默认会弹框提示待办的详细说明，关闭后点击“待办名称”则可继续查看详细说明；</w:t>
      </w:r>
    </w:p>
    <w:p>
      <w:pPr>
        <w:widowControl/>
        <w:jc w:val="center"/>
      </w:pPr>
      <w:r>
        <w:rPr>
          <w:rFonts w:ascii="宋体" w:hAnsi="宋体" w:eastAsia="宋体" w:cs="宋体"/>
          <w:kern w:val="0"/>
          <w:sz w:val="24"/>
          <w:lang w:bidi="ar"/>
        </w:rPr>
        <w:drawing>
          <wp:inline distT="0" distB="0" distL="114300" distR="114300">
            <wp:extent cx="5254625" cy="2849245"/>
            <wp:effectExtent l="0" t="0" r="3175" b="20955"/>
            <wp:docPr id="34" name="图片 1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descr="IMG_257"/>
                    <pic:cNvPicPr>
                      <a:picLocks noChangeAspect="1"/>
                    </pic:cNvPicPr>
                  </pic:nvPicPr>
                  <pic:blipFill>
                    <a:blip r:embed="rId16"/>
                    <a:stretch>
                      <a:fillRect/>
                    </a:stretch>
                  </pic:blipFill>
                  <pic:spPr>
                    <a:xfrm>
                      <a:off x="0" y="0"/>
                      <a:ext cx="5254625" cy="2849245"/>
                    </a:xfrm>
                    <a:prstGeom prst="rect">
                      <a:avLst/>
                    </a:prstGeom>
                    <a:noFill/>
                    <a:ln w="9525">
                      <a:noFill/>
                    </a:ln>
                  </pic:spPr>
                </pic:pic>
              </a:graphicData>
            </a:graphic>
          </wp:inline>
        </w:drawing>
      </w:r>
    </w:p>
    <w:p>
      <w:pPr>
        <w:widowControl/>
        <w:ind w:firstLine="640" w:firstLineChars="200"/>
        <w:jc w:val="lef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C.进入待办事项列表后，点击上传，则可上传文件，上传成功后该待办状态则变为已完成，可点击“重传”按钮更新上传的文件。</w:t>
      </w:r>
    </w:p>
    <w:p>
      <w:pPr>
        <w:widowControl/>
        <w:jc w:val="center"/>
      </w:pPr>
      <w:r>
        <w:rPr>
          <w:rFonts w:ascii="宋体" w:hAnsi="宋体" w:eastAsia="宋体" w:cs="宋体"/>
          <w:kern w:val="0"/>
          <w:sz w:val="24"/>
          <w:lang w:bidi="ar"/>
        </w:rPr>
        <w:drawing>
          <wp:inline distT="0" distB="0" distL="114300" distR="114300">
            <wp:extent cx="5255895" cy="1699260"/>
            <wp:effectExtent l="0" t="0" r="1905" b="15240"/>
            <wp:docPr id="35" name="图片 1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descr="IMG_258"/>
                    <pic:cNvPicPr>
                      <a:picLocks noChangeAspect="1"/>
                    </pic:cNvPicPr>
                  </pic:nvPicPr>
                  <pic:blipFill>
                    <a:blip r:embed="rId17"/>
                    <a:stretch>
                      <a:fillRect/>
                    </a:stretch>
                  </pic:blipFill>
                  <pic:spPr>
                    <a:xfrm>
                      <a:off x="0" y="0"/>
                      <a:ext cx="5255895" cy="1699260"/>
                    </a:xfrm>
                    <a:prstGeom prst="rect">
                      <a:avLst/>
                    </a:prstGeom>
                    <a:noFill/>
                    <a:ln w="9525">
                      <a:noFill/>
                    </a:ln>
                  </pic:spPr>
                </pic:pic>
              </a:graphicData>
            </a:graphic>
          </wp:inline>
        </w:drawing>
      </w:r>
    </w:p>
    <w:p>
      <w:pPr>
        <w:widowControl/>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ascii="宋体" w:hAnsi="宋体" w:eastAsia="宋体" w:cs="宋体"/>
          <w:kern w:val="0"/>
          <w:sz w:val="24"/>
          <w:lang w:bidi="ar"/>
        </w:rPr>
        <w:drawing>
          <wp:inline distT="0" distB="0" distL="114300" distR="114300">
            <wp:extent cx="5255895" cy="1921510"/>
            <wp:effectExtent l="0" t="0" r="1905" b="2540"/>
            <wp:docPr id="37" name="图片 1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descr="IMG_259"/>
                    <pic:cNvPicPr>
                      <a:picLocks noChangeAspect="1"/>
                    </pic:cNvPicPr>
                  </pic:nvPicPr>
                  <pic:blipFill>
                    <a:blip r:embed="rId18"/>
                    <a:stretch>
                      <a:fillRect/>
                    </a:stretch>
                  </pic:blipFill>
                  <pic:spPr>
                    <a:xfrm>
                      <a:off x="0" y="0"/>
                      <a:ext cx="5255895" cy="1921510"/>
                    </a:xfrm>
                    <a:prstGeom prst="rect">
                      <a:avLst/>
                    </a:prstGeom>
                    <a:noFill/>
                    <a:ln w="9525">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75A6D4E0-1CA6-4A51-B572-830C5B026E0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长城小标宋体">
    <w:altName w:val="宋体"/>
    <w:panose1 w:val="00000000000000000000"/>
    <w:charset w:val="00"/>
    <w:family w:val="modern"/>
    <w:pitch w:val="default"/>
    <w:sig w:usb0="00000000" w:usb1="00000000" w:usb2="00000000" w:usb3="00000000" w:csb0="00040001" w:csb1="00000000"/>
  </w:font>
  <w:font w:name="Arial">
    <w:panose1 w:val="020B0604020202020204"/>
    <w:charset w:val="00"/>
    <w:family w:val="swiss"/>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embedRegular r:id="rId2" w:fontKey="{3850D6C3-A265-4395-8D18-B3E2286A82D3}"/>
  </w:font>
  <w:font w:name="方正小标宋简体">
    <w:panose1 w:val="03000509000000000000"/>
    <w:charset w:val="86"/>
    <w:family w:val="auto"/>
    <w:pitch w:val="default"/>
    <w:sig w:usb0="00000001" w:usb1="080E0000" w:usb2="00000000" w:usb3="00000000" w:csb0="00040000" w:csb1="00000000"/>
    <w:embedRegular r:id="rId3" w:fontKey="{12914C4A-7BF0-4D42-B319-2E4C7B326247}"/>
  </w:font>
  <w:font w:name="方正小标宋_GBK">
    <w:altName w:val="微软雅黑"/>
    <w:panose1 w:val="00000000000000000000"/>
    <w:charset w:val="86"/>
    <w:family w:val="auto"/>
    <w:pitch w:val="default"/>
    <w:sig w:usb0="00000000" w:usb1="00000000" w:usb2="00000000" w:usb3="00000000" w:csb0="00040000" w:csb1="00000000"/>
    <w:embedRegular r:id="rId4" w:fontKey="{EE2E6867-9F20-469B-86E7-213A4E181D38}"/>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5BA8EF"/>
    <w:multiLevelType w:val="singleLevel"/>
    <w:tmpl w:val="CD5BA8EF"/>
    <w:lvl w:ilvl="0" w:tentative="0">
      <w:start w:val="2"/>
      <w:numFmt w:val="decimal"/>
      <w:suff w:val="space"/>
      <w:lvlText w:val="%1."/>
      <w:lvlJc w:val="left"/>
    </w:lvl>
  </w:abstractNum>
  <w:abstractNum w:abstractNumId="1">
    <w:nsid w:val="F087A201"/>
    <w:multiLevelType w:val="singleLevel"/>
    <w:tmpl w:val="F087A201"/>
    <w:lvl w:ilvl="0" w:tentative="0">
      <w:start w:val="1"/>
      <w:numFmt w:val="bullet"/>
      <w:lvlText w:val=""/>
      <w:lvlJc w:val="left"/>
      <w:pPr>
        <w:ind w:left="420" w:hanging="420"/>
      </w:pPr>
      <w:rPr>
        <w:rFonts w:hint="default" w:ascii="Wingdings" w:hAnsi="Wingdings"/>
      </w:rPr>
    </w:lvl>
  </w:abstractNum>
  <w:abstractNum w:abstractNumId="2">
    <w:nsid w:val="F8B3173D"/>
    <w:multiLevelType w:val="singleLevel"/>
    <w:tmpl w:val="F8B3173D"/>
    <w:lvl w:ilvl="0" w:tentative="0">
      <w:start w:val="1"/>
      <w:numFmt w:val="bullet"/>
      <w:lvlText w:val=""/>
      <w:lvlJc w:val="left"/>
      <w:pPr>
        <w:ind w:left="420" w:hanging="420"/>
      </w:pPr>
      <w:rPr>
        <w:rFonts w:hint="default" w:ascii="Wingdings" w:hAnsi="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xNTBmNzQ5ZmUxOGM0MjcyYmY4NzczMmZiY2Q0MWEifQ=="/>
  </w:docVars>
  <w:rsids>
    <w:rsidRoot w:val="32D938E4"/>
    <w:rsid w:val="00007046"/>
    <w:rsid w:val="000342C0"/>
    <w:rsid w:val="001C1CD4"/>
    <w:rsid w:val="00376644"/>
    <w:rsid w:val="00453F14"/>
    <w:rsid w:val="00B86486"/>
    <w:rsid w:val="00CF2094"/>
    <w:rsid w:val="02760CE0"/>
    <w:rsid w:val="0334212D"/>
    <w:rsid w:val="04996BA3"/>
    <w:rsid w:val="060C125D"/>
    <w:rsid w:val="0AAE25C1"/>
    <w:rsid w:val="0C1847D8"/>
    <w:rsid w:val="0FEF6AFD"/>
    <w:rsid w:val="127937B7"/>
    <w:rsid w:val="15722EBE"/>
    <w:rsid w:val="16DC6DF7"/>
    <w:rsid w:val="1817172C"/>
    <w:rsid w:val="1B6B7B1B"/>
    <w:rsid w:val="1BAF61FA"/>
    <w:rsid w:val="1DD91315"/>
    <w:rsid w:val="1F586509"/>
    <w:rsid w:val="1F671834"/>
    <w:rsid w:val="1FC81815"/>
    <w:rsid w:val="21091F11"/>
    <w:rsid w:val="214F76E1"/>
    <w:rsid w:val="23380D18"/>
    <w:rsid w:val="247037BD"/>
    <w:rsid w:val="299407C0"/>
    <w:rsid w:val="2C4440B0"/>
    <w:rsid w:val="2D9514AD"/>
    <w:rsid w:val="311C760C"/>
    <w:rsid w:val="32D938E4"/>
    <w:rsid w:val="33F74E20"/>
    <w:rsid w:val="34916DC1"/>
    <w:rsid w:val="350D06F1"/>
    <w:rsid w:val="3991080D"/>
    <w:rsid w:val="3BF2270A"/>
    <w:rsid w:val="3C5B4C88"/>
    <w:rsid w:val="3EFE4C51"/>
    <w:rsid w:val="42BB59BD"/>
    <w:rsid w:val="440523CD"/>
    <w:rsid w:val="483B65A4"/>
    <w:rsid w:val="490C4004"/>
    <w:rsid w:val="498D2E30"/>
    <w:rsid w:val="4A8460D2"/>
    <w:rsid w:val="4BC2021B"/>
    <w:rsid w:val="4F115266"/>
    <w:rsid w:val="505731BF"/>
    <w:rsid w:val="50FC1A47"/>
    <w:rsid w:val="53221832"/>
    <w:rsid w:val="545455E7"/>
    <w:rsid w:val="54EA6F8C"/>
    <w:rsid w:val="54FBCB22"/>
    <w:rsid w:val="571B241A"/>
    <w:rsid w:val="5A420297"/>
    <w:rsid w:val="5A8E07B6"/>
    <w:rsid w:val="5BC43166"/>
    <w:rsid w:val="5FFF8670"/>
    <w:rsid w:val="65C577A1"/>
    <w:rsid w:val="66F94B2D"/>
    <w:rsid w:val="6A6E5F0E"/>
    <w:rsid w:val="6B1B388E"/>
    <w:rsid w:val="6BA2249D"/>
    <w:rsid w:val="6BDC72C7"/>
    <w:rsid w:val="70354AEC"/>
    <w:rsid w:val="704E0CBB"/>
    <w:rsid w:val="72A44BEB"/>
    <w:rsid w:val="72D05D55"/>
    <w:rsid w:val="73396002"/>
    <w:rsid w:val="750117DC"/>
    <w:rsid w:val="76A96C4B"/>
    <w:rsid w:val="79B7465F"/>
    <w:rsid w:val="7A43555F"/>
    <w:rsid w:val="7CB053BF"/>
    <w:rsid w:val="7D3612AD"/>
    <w:rsid w:val="9FBF7D94"/>
    <w:rsid w:val="EEF7275E"/>
    <w:rsid w:val="F4F733D8"/>
    <w:rsid w:val="F7B5DBAF"/>
    <w:rsid w:val="F9C77A68"/>
    <w:rsid w:val="FDFEF64A"/>
    <w:rsid w:val="FEAE91B8"/>
    <w:rsid w:val="FF1F5717"/>
    <w:rsid w:val="FFFFD8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paragraph" w:styleId="4">
    <w:name w:val="heading 4"/>
    <w:basedOn w:val="5"/>
    <w:next w:val="1"/>
    <w:unhideWhenUsed/>
    <w:qFormat/>
    <w:uiPriority w:val="0"/>
    <w:pPr>
      <w:spacing w:line="300" w:lineRule="auto"/>
      <w:ind w:firstLine="0"/>
      <w:jc w:val="center"/>
      <w:outlineLvl w:val="3"/>
    </w:pPr>
    <w:rPr>
      <w:rFonts w:eastAsia="长城小标宋体" w:cs="Times New Roman"/>
      <w:b/>
      <w:bCs/>
      <w:spacing w:val="6"/>
      <w:sz w:val="44"/>
      <w:szCs w:val="44"/>
    </w:rPr>
  </w:style>
  <w:style w:type="paragraph" w:styleId="5">
    <w:name w:val="heading 5"/>
    <w:basedOn w:val="1"/>
    <w:next w:val="1"/>
    <w:qFormat/>
    <w:uiPriority w:val="0"/>
    <w:pPr>
      <w:ind w:left="1400" w:hanging="400"/>
      <w:outlineLvl w:val="4"/>
    </w:pPr>
    <w:rPr>
      <w:rFonts w:ascii="Calibri" w:hAnsi="Calibri" w:eastAsia="宋体"/>
      <w:szCs w:val="21"/>
    </w:rPr>
  </w:style>
  <w:style w:type="character" w:default="1" w:styleId="11">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footer"/>
    <w:basedOn w:val="1"/>
    <w:link w:val="13"/>
    <w:uiPriority w:val="0"/>
    <w:pPr>
      <w:tabs>
        <w:tab w:val="center" w:pos="4153"/>
        <w:tab w:val="right" w:pos="8306"/>
      </w:tabs>
      <w:snapToGrid w:val="0"/>
      <w:jc w:val="left"/>
    </w:pPr>
    <w:rPr>
      <w:sz w:val="18"/>
      <w:szCs w:val="18"/>
    </w:rPr>
  </w:style>
  <w:style w:type="paragraph" w:styleId="8">
    <w:name w:val="envelope return"/>
    <w:basedOn w:val="1"/>
    <w:qFormat/>
    <w:uiPriority w:val="0"/>
    <w:pPr>
      <w:snapToGrid w:val="0"/>
    </w:pPr>
    <w:rPr>
      <w:rFonts w:ascii="Arial" w:hAnsi="Arial"/>
    </w:rPr>
  </w:style>
  <w:style w:type="paragraph" w:styleId="9">
    <w:name w:val="header"/>
    <w:basedOn w:val="1"/>
    <w:link w:val="12"/>
    <w:uiPriority w:val="0"/>
    <w:pPr>
      <w:tabs>
        <w:tab w:val="center" w:pos="4153"/>
        <w:tab w:val="right" w:pos="8306"/>
      </w:tabs>
      <w:snapToGrid w:val="0"/>
      <w:jc w:val="center"/>
    </w:pPr>
    <w:rPr>
      <w:sz w:val="18"/>
      <w:szCs w:val="18"/>
    </w:rPr>
  </w:style>
  <w:style w:type="character" w:customStyle="1" w:styleId="12">
    <w:name w:val="页眉 字符"/>
    <w:basedOn w:val="11"/>
    <w:link w:val="9"/>
    <w:uiPriority w:val="0"/>
    <w:rPr>
      <w:rFonts w:asciiTheme="minorHAnsi" w:hAnsiTheme="minorHAnsi" w:eastAsiaTheme="minorEastAsia" w:cstheme="minorBidi"/>
      <w:kern w:val="2"/>
      <w:sz w:val="18"/>
      <w:szCs w:val="18"/>
    </w:rPr>
  </w:style>
  <w:style w:type="character" w:customStyle="1" w:styleId="13">
    <w:name w:val="页脚 字符"/>
    <w:basedOn w:val="11"/>
    <w:link w:val="7"/>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250</Words>
  <Characters>1427</Characters>
  <Lines>11</Lines>
  <Paragraphs>3</Paragraphs>
  <TotalTime>11</TotalTime>
  <ScaleCrop>false</ScaleCrop>
  <LinksUpToDate>false</LinksUpToDate>
  <CharactersWithSpaces>1674</CharactersWithSpaces>
  <Application>WPS Office_11.8.2.12055_F1E327BC-269C-435d-A152-05C5408002CA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2024-12-26T09:08:00Z</dcterms:created>
  <dc:creator>李丽</dc:creator>
  <cp:lastModifiedBy>Administrator</cp:lastModifiedBy>
  <dcterms:modified xsi:type="dcterms:W3CDTF">2025-07-04T01:20:36Z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2052-11.8.2.12055</vt:lpwstr>
  </property>
  <property fmtid="{D5CDD505-2E9C-101B-9397-08002B2CF9AE}" pid="3" name="ICV">
    <vt:lpwstr>CCE8E53099A548FA906C3BFBF11E88DF</vt:lpwstr>
  </property>
  <property fmtid="{D5CDD505-2E9C-101B-9397-08002B2CF9AE}" pid="4" name="KSOTemplateDocerSaveRecord">
    <vt:lpwstr>eyJoZGlkIjoiN2IxNTBmNzQ5ZmUxOGM0MjcyYmY4NzczMmZiY2Q0MWEiLCJ1c2VySWQiOiIxNjY4Nzg2MzE5In0=</vt:lpwstr>
  </property>
</Properties>
</file>